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98" w:rsidRDefault="00BF2798" w:rsidP="00BF2798">
      <w:pPr>
        <w:pStyle w:val="Normaalweb"/>
        <w:rPr>
          <w:rFonts w:ascii="Verdana" w:hAnsi="Verdana"/>
          <w:color w:val="000000"/>
          <w:sz w:val="17"/>
          <w:szCs w:val="17"/>
        </w:rPr>
      </w:pPr>
      <w:r>
        <w:rPr>
          <w:rFonts w:ascii="Verdana" w:hAnsi="Verdana"/>
          <w:color w:val="000000"/>
          <w:sz w:val="17"/>
          <w:szCs w:val="17"/>
        </w:rPr>
        <w:t xml:space="preserve">Bewoners van stadsdeel Oost ergeren zich in hun buurt het meest aan jeugdoverlast en criminaliteit (bron: Bewoners over hun buurt). Op dit vlak werkt het stadsdeel intensief samen met jeugdzorg en politie. Maar om deze jongens écht van de straat te krijgen is kleinschalig, intensief en individueel maatwerk nodig, waarbij wordt ingezet op het bieden van een aantrekkelijk legaal alternatief voor deze jongeren in de vorm van redelijk betaalde arbeid. </w:t>
      </w:r>
    </w:p>
    <w:p w:rsidR="00BF2798" w:rsidRDefault="00BF2798" w:rsidP="00BF2798">
      <w:pPr>
        <w:pStyle w:val="Normaalweb"/>
        <w:rPr>
          <w:rFonts w:ascii="Verdana" w:hAnsi="Verdana"/>
          <w:color w:val="000000"/>
          <w:sz w:val="17"/>
          <w:szCs w:val="17"/>
        </w:rPr>
      </w:pPr>
      <w:r>
        <w:rPr>
          <w:rFonts w:ascii="Verdana" w:hAnsi="Verdana"/>
          <w:color w:val="000000"/>
          <w:sz w:val="17"/>
          <w:szCs w:val="17"/>
        </w:rPr>
        <w:t xml:space="preserve">Om hierin te voorzien is de afgelopen jaren het Jeugd Preventie Team (JPT) actief geweest in Oud Oost en in de Indische buurt. Middels dit project werd aan </w:t>
      </w:r>
      <w:proofErr w:type="spellStart"/>
      <w:r>
        <w:rPr>
          <w:rFonts w:ascii="Verdana" w:hAnsi="Verdana"/>
          <w:color w:val="000000"/>
          <w:sz w:val="17"/>
          <w:szCs w:val="17"/>
        </w:rPr>
        <w:t>overlastgevende</w:t>
      </w:r>
      <w:proofErr w:type="spellEnd"/>
      <w:r>
        <w:rPr>
          <w:rFonts w:ascii="Verdana" w:hAnsi="Verdana"/>
          <w:color w:val="000000"/>
          <w:sz w:val="17"/>
          <w:szCs w:val="17"/>
        </w:rPr>
        <w:t xml:space="preserve"> en criminele jongeren uit deze wijken nieuw perspectief geboden door hen op verschillende levensdomeinen te begeleiden en vervolgens uit te laten stromen naar werk of opleiding. </w:t>
      </w:r>
      <w:r>
        <w:rPr>
          <w:rFonts w:ascii="Verdana" w:hAnsi="Verdana"/>
          <w:color w:val="000000"/>
          <w:sz w:val="17"/>
          <w:szCs w:val="17"/>
        </w:rPr>
        <w:br/>
        <w:t>Het JPT had 4 werkzame elementen:</w:t>
      </w:r>
    </w:p>
    <w:p w:rsidR="00BF2798" w:rsidRDefault="00BF2798" w:rsidP="00BF2798">
      <w:pPr>
        <w:pStyle w:val="Normaalweb"/>
        <w:rPr>
          <w:rFonts w:ascii="Verdana" w:hAnsi="Verdana"/>
          <w:color w:val="000000"/>
          <w:sz w:val="17"/>
          <w:szCs w:val="17"/>
        </w:rPr>
      </w:pPr>
      <w:r>
        <w:rPr>
          <w:rFonts w:ascii="Verdana" w:hAnsi="Verdana"/>
          <w:color w:val="000000"/>
          <w:sz w:val="17"/>
          <w:szCs w:val="17"/>
        </w:rPr>
        <w:t xml:space="preserve">- samenwerking met rolmodellen; </w:t>
      </w:r>
    </w:p>
    <w:p w:rsidR="00BF2798" w:rsidRDefault="00BF2798" w:rsidP="00BF2798">
      <w:pPr>
        <w:pStyle w:val="Normaalweb"/>
        <w:rPr>
          <w:rFonts w:ascii="Verdana" w:hAnsi="Verdana"/>
          <w:color w:val="000000"/>
          <w:sz w:val="17"/>
          <w:szCs w:val="17"/>
        </w:rPr>
      </w:pPr>
      <w:r>
        <w:rPr>
          <w:rFonts w:ascii="Verdana" w:hAnsi="Verdana"/>
          <w:color w:val="000000"/>
          <w:sz w:val="17"/>
          <w:szCs w:val="17"/>
        </w:rPr>
        <w:t>- echte laagdrempelige (nabij, 24/7) zorg;</w:t>
      </w:r>
    </w:p>
    <w:p w:rsidR="00BF2798" w:rsidRDefault="00BF2798" w:rsidP="00BF2798">
      <w:pPr>
        <w:pStyle w:val="Normaalweb"/>
        <w:rPr>
          <w:rFonts w:ascii="Verdana" w:hAnsi="Verdana"/>
          <w:color w:val="000000"/>
          <w:sz w:val="17"/>
          <w:szCs w:val="17"/>
        </w:rPr>
      </w:pPr>
      <w:r>
        <w:rPr>
          <w:rFonts w:ascii="Verdana" w:hAnsi="Verdana"/>
          <w:color w:val="000000"/>
          <w:sz w:val="17"/>
          <w:szCs w:val="17"/>
        </w:rPr>
        <w:t>- betaald (lucratief) werk;</w:t>
      </w:r>
    </w:p>
    <w:p w:rsidR="00BF2798" w:rsidRDefault="00BF2798" w:rsidP="00BF2798">
      <w:pPr>
        <w:pStyle w:val="Normaalweb"/>
        <w:rPr>
          <w:rFonts w:ascii="Verdana" w:hAnsi="Verdana"/>
          <w:color w:val="000000"/>
          <w:sz w:val="17"/>
          <w:szCs w:val="17"/>
        </w:rPr>
      </w:pPr>
      <w:r>
        <w:rPr>
          <w:rFonts w:ascii="Verdana" w:hAnsi="Verdana"/>
          <w:color w:val="000000"/>
          <w:sz w:val="17"/>
          <w:szCs w:val="17"/>
        </w:rPr>
        <w:t>- bieden van een vertrouwde plek.</w:t>
      </w:r>
    </w:p>
    <w:p w:rsidR="00BF2798" w:rsidRDefault="00BF2798" w:rsidP="00BF2798">
      <w:pPr>
        <w:pStyle w:val="Normaalweb"/>
        <w:rPr>
          <w:rFonts w:ascii="Verdana" w:hAnsi="Verdana"/>
          <w:color w:val="000000"/>
          <w:sz w:val="17"/>
          <w:szCs w:val="17"/>
        </w:rPr>
      </w:pPr>
      <w:r>
        <w:rPr>
          <w:rFonts w:ascii="Verdana" w:hAnsi="Verdana"/>
          <w:color w:val="000000"/>
          <w:sz w:val="17"/>
          <w:szCs w:val="17"/>
        </w:rPr>
        <w:t>Per 1 januari 2017 stopt het JPT. Echter, wij realiseren ons als stadsdeel terdege dat de noodzaak van het bieden van een nieuw perspectief voor met name de criminele doelgroep in Oud Oost en de Indische Buurt blijft bestaan. Deze inzet willen we dan ook niet laten wegvallen.</w:t>
      </w:r>
    </w:p>
    <w:p w:rsidR="00BF2798" w:rsidRDefault="00BF2798" w:rsidP="00BF2798">
      <w:pPr>
        <w:pStyle w:val="Normaalweb"/>
        <w:rPr>
          <w:rFonts w:ascii="Verdana" w:hAnsi="Verdana"/>
          <w:color w:val="000000"/>
          <w:sz w:val="17"/>
          <w:szCs w:val="17"/>
        </w:rPr>
      </w:pPr>
      <w:r>
        <w:rPr>
          <w:rFonts w:ascii="Verdana" w:hAnsi="Verdana"/>
          <w:color w:val="000000"/>
          <w:sz w:val="17"/>
          <w:szCs w:val="17"/>
        </w:rPr>
        <w:t>In 2017 zullen we starten met een project als vervolg op de inzet van het JPT waarbij het bieden van perspectief middels werk aan criminele jongeren uit de wijk centraal staat. Op deze wijze wordt de veiligheid in het stadsdeel vergroot. Momenteel wordt aan onderstaande 2 projecten gedacht, maar andere voorstellen zijn niet uitgesloten:</w:t>
      </w:r>
    </w:p>
    <w:p w:rsidR="00BF2798" w:rsidRDefault="00BF2798" w:rsidP="00BF2798">
      <w:pPr>
        <w:pStyle w:val="Normaalweb"/>
        <w:rPr>
          <w:rFonts w:ascii="Verdana" w:hAnsi="Verdana"/>
          <w:color w:val="000000"/>
          <w:sz w:val="17"/>
          <w:szCs w:val="17"/>
        </w:rPr>
      </w:pPr>
      <w:r>
        <w:rPr>
          <w:rStyle w:val="Zwaar"/>
          <w:rFonts w:ascii="Verdana" w:hAnsi="Verdana"/>
          <w:color w:val="000000"/>
          <w:sz w:val="17"/>
          <w:szCs w:val="17"/>
        </w:rPr>
        <w:t>1. Heilige Boontjes Koffie</w:t>
      </w:r>
    </w:p>
    <w:p w:rsidR="00BF2798" w:rsidRDefault="00BF2798" w:rsidP="00BF2798">
      <w:pPr>
        <w:pStyle w:val="Normaalweb"/>
        <w:rPr>
          <w:rFonts w:ascii="Verdana" w:hAnsi="Verdana"/>
          <w:color w:val="000000"/>
          <w:sz w:val="17"/>
          <w:szCs w:val="17"/>
        </w:rPr>
      </w:pPr>
      <w:r>
        <w:rPr>
          <w:rFonts w:ascii="Verdana" w:hAnsi="Verdana"/>
          <w:color w:val="000000"/>
          <w:sz w:val="17"/>
          <w:szCs w:val="17"/>
        </w:rPr>
        <w:t>Dit is een initiatief dat momenteel in Rotterdam draait en waarvan nu bekeken wordt of dit concept naar Amsterdam Oost kan overkomen.</w:t>
      </w:r>
    </w:p>
    <w:p w:rsidR="00BF2798" w:rsidRDefault="00BF2798" w:rsidP="00BF2798">
      <w:pPr>
        <w:pStyle w:val="Normaalweb"/>
        <w:rPr>
          <w:rFonts w:ascii="Verdana" w:hAnsi="Verdana"/>
          <w:color w:val="000000"/>
          <w:sz w:val="17"/>
          <w:szCs w:val="17"/>
        </w:rPr>
      </w:pPr>
      <w:r>
        <w:rPr>
          <w:rFonts w:ascii="Verdana" w:hAnsi="Verdana"/>
          <w:color w:val="000000"/>
          <w:sz w:val="17"/>
          <w:szCs w:val="17"/>
        </w:rPr>
        <w:t xml:space="preserve">Het betreft een goedlopende sociale onderneming, een koffiecafé, waar (voormalig) criminele jongeren werkzaam zijn. Heilige Boontjes biedt jongeren een leerwerktraject en leidt hen op tot koffiebrander, </w:t>
      </w:r>
      <w:proofErr w:type="spellStart"/>
      <w:r>
        <w:rPr>
          <w:rFonts w:ascii="Verdana" w:hAnsi="Verdana"/>
          <w:color w:val="000000"/>
          <w:sz w:val="17"/>
          <w:szCs w:val="17"/>
        </w:rPr>
        <w:t>barista</w:t>
      </w:r>
      <w:proofErr w:type="spellEnd"/>
      <w:r>
        <w:rPr>
          <w:rFonts w:ascii="Verdana" w:hAnsi="Verdana"/>
          <w:color w:val="000000"/>
          <w:sz w:val="17"/>
          <w:szCs w:val="17"/>
        </w:rPr>
        <w:t xml:space="preserve"> en distributeur. Het is een traject waarin jongeren één jaar bij Heilige Boontjes onder begeleiding aan de slag gaan. Daarna gaan ze in het bezit van de nodige kennis, vaardigheden en werkervaring de arbeidsmarkt op. </w:t>
      </w:r>
    </w:p>
    <w:p w:rsidR="00BF2798" w:rsidRDefault="00BF2798" w:rsidP="00BF2798">
      <w:pPr>
        <w:pStyle w:val="Normaalweb"/>
        <w:rPr>
          <w:rFonts w:ascii="Verdana" w:hAnsi="Verdana"/>
          <w:color w:val="000000"/>
          <w:sz w:val="17"/>
          <w:szCs w:val="17"/>
        </w:rPr>
      </w:pPr>
      <w:r>
        <w:rPr>
          <w:rFonts w:ascii="Verdana" w:hAnsi="Verdana"/>
          <w:color w:val="000000"/>
          <w:sz w:val="17"/>
          <w:szCs w:val="17"/>
        </w:rPr>
        <w:t>Momenteel wordt bekeken of Heilige Boontjes via bijvoorbeeld een franchise constructie naar Amsterdam Oost kan worden gehaald, of dat wellicht het concept kan worden geadopteerd. Er vindt vanuit het stadsdeel een haalbaarheidsonderzoek hiernaar plaats.</w:t>
      </w:r>
    </w:p>
    <w:p w:rsidR="00BF2798" w:rsidRDefault="00BF2798" w:rsidP="00BF2798">
      <w:pPr>
        <w:pStyle w:val="Normaalweb"/>
        <w:rPr>
          <w:rFonts w:ascii="Verdana" w:hAnsi="Verdana"/>
          <w:color w:val="000000"/>
          <w:sz w:val="17"/>
          <w:szCs w:val="17"/>
        </w:rPr>
      </w:pPr>
      <w:r>
        <w:rPr>
          <w:rStyle w:val="Zwaar"/>
          <w:rFonts w:ascii="Verdana" w:hAnsi="Verdana"/>
          <w:color w:val="000000"/>
          <w:sz w:val="17"/>
          <w:szCs w:val="17"/>
        </w:rPr>
        <w:t>2. Rode Draad</w:t>
      </w:r>
    </w:p>
    <w:p w:rsidR="00BF2798" w:rsidRDefault="00BF2798" w:rsidP="00BF2798">
      <w:pPr>
        <w:pStyle w:val="Normaalweb"/>
        <w:rPr>
          <w:rFonts w:ascii="Verdana" w:hAnsi="Verdana"/>
          <w:color w:val="000000"/>
          <w:sz w:val="17"/>
          <w:szCs w:val="17"/>
        </w:rPr>
      </w:pPr>
      <w:r>
        <w:rPr>
          <w:rFonts w:ascii="Verdana" w:hAnsi="Verdana"/>
          <w:color w:val="000000"/>
          <w:sz w:val="17"/>
          <w:szCs w:val="17"/>
        </w:rPr>
        <w:t xml:space="preserve">Het projectidee Rode Draad heeft twee pijlers: 1. begeleiding van sport en spel op een plein en 2. doorgeleiding van criminele en </w:t>
      </w:r>
      <w:proofErr w:type="spellStart"/>
      <w:r>
        <w:rPr>
          <w:rFonts w:ascii="Verdana" w:hAnsi="Verdana"/>
          <w:color w:val="000000"/>
          <w:sz w:val="17"/>
          <w:szCs w:val="17"/>
        </w:rPr>
        <w:t>overlastgevende</w:t>
      </w:r>
      <w:proofErr w:type="spellEnd"/>
      <w:r>
        <w:rPr>
          <w:rFonts w:ascii="Verdana" w:hAnsi="Verdana"/>
          <w:color w:val="000000"/>
          <w:sz w:val="17"/>
          <w:szCs w:val="17"/>
        </w:rPr>
        <w:t xml:space="preserve"> jongeren naar werk.</w:t>
      </w:r>
    </w:p>
    <w:p w:rsidR="00BF2798" w:rsidRDefault="00BF2798" w:rsidP="00BF2798">
      <w:pPr>
        <w:pStyle w:val="Normaalweb"/>
        <w:rPr>
          <w:rFonts w:ascii="Verdana" w:hAnsi="Verdana"/>
          <w:color w:val="000000"/>
          <w:sz w:val="17"/>
          <w:szCs w:val="17"/>
        </w:rPr>
      </w:pPr>
      <w:r>
        <w:rPr>
          <w:rFonts w:ascii="Verdana" w:hAnsi="Verdana"/>
          <w:color w:val="000000"/>
          <w:sz w:val="17"/>
          <w:szCs w:val="17"/>
        </w:rPr>
        <w:t>Vanuit het plein wordt contact gemaakt met oudere jongeren die advies of hulp nodig hebben op persoonlijk vlak en werkgebied. Wanneer er vertrouwen en betrokkenheid is worden deze jongeren op maat begeleid met als einddoel het vinden van stabiel en duurzaam werk. De inzet betreft nauwkeurig maatwerk via verschillende tussenstappen zoals het behalen van een diploma, afmaken van een taakstraf of het op de rails zetten van hulpverlening, waarna ruimte ontstaat voor doorgeleiding naar werk.</w:t>
      </w:r>
    </w:p>
    <w:p w:rsidR="000B46D8" w:rsidRDefault="00BF2798" w:rsidP="00BF2798">
      <w:pPr>
        <w:pStyle w:val="Normaalweb"/>
      </w:pPr>
      <w:r>
        <w:rPr>
          <w:rFonts w:ascii="Verdana" w:hAnsi="Verdana"/>
          <w:color w:val="000000"/>
          <w:sz w:val="17"/>
          <w:szCs w:val="17"/>
        </w:rPr>
        <w:t>De ‘Rode Draad’ heeft 2 initiatiefnemers waarvan de ene persoon zich richt op de begeleiding van jongeren naar werk begeleid en de andere persoon het sport en spel buiten zal begeleiden. Met beiden is op deze twee vlakken reeds sprake van een goede samenwerking en positieve resultaten op dit vlak.</w:t>
      </w:r>
      <w:bookmarkStart w:id="0" w:name="_GoBack"/>
      <w:bookmarkEnd w:id="0"/>
    </w:p>
    <w:sectPr w:rsidR="000B46D8"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5">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 w:numId="9">
    <w:abstractNumId w:val="6"/>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3"/>
  </w:num>
  <w:num w:numId="20">
    <w:abstractNumId w:val="6"/>
  </w:num>
  <w:num w:numId="21">
    <w:abstractNumId w:val="0"/>
  </w:num>
  <w:num w:numId="22">
    <w:abstractNumId w:val="1"/>
  </w:num>
  <w:num w:numId="23">
    <w:abstractNumId w:val="4"/>
  </w:num>
  <w:num w:numId="24">
    <w:abstractNumId w:val="0"/>
  </w:num>
  <w:num w:numId="25">
    <w:abstractNumId w:val="0"/>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98"/>
    <w:rsid w:val="000B46D8"/>
    <w:rsid w:val="00177A29"/>
    <w:rsid w:val="002B5524"/>
    <w:rsid w:val="003B3222"/>
    <w:rsid w:val="00424DED"/>
    <w:rsid w:val="00482A4F"/>
    <w:rsid w:val="00527398"/>
    <w:rsid w:val="00632123"/>
    <w:rsid w:val="008104C5"/>
    <w:rsid w:val="008402D9"/>
    <w:rsid w:val="009175F9"/>
    <w:rsid w:val="009761CF"/>
    <w:rsid w:val="009B0D92"/>
    <w:rsid w:val="00A03098"/>
    <w:rsid w:val="00A3732E"/>
    <w:rsid w:val="00A53085"/>
    <w:rsid w:val="00BD0C39"/>
    <w:rsid w:val="00BF2798"/>
    <w:rsid w:val="00EB1492"/>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Normaalweb">
    <w:name w:val="Normal (Web)"/>
    <w:basedOn w:val="Standaard"/>
    <w:uiPriority w:val="99"/>
    <w:unhideWhenUsed/>
    <w:rsid w:val="00BF2798"/>
    <w:pPr>
      <w:spacing w:before="100" w:beforeAutospacing="1" w:after="100" w:afterAutospacing="1" w:line="240" w:lineRule="auto"/>
    </w:pPr>
    <w:rPr>
      <w:rFonts w:ascii="Times New Roman" w:hAnsi="Times New Roman"/>
      <w:sz w:val="24"/>
      <w:szCs w:val="24"/>
    </w:rPr>
  </w:style>
  <w:style w:type="character" w:styleId="Zwaar">
    <w:name w:val="Strong"/>
    <w:basedOn w:val="Standaardalinea-lettertype"/>
    <w:uiPriority w:val="22"/>
    <w:qFormat/>
    <w:rsid w:val="00BF27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Normaalweb">
    <w:name w:val="Normal (Web)"/>
    <w:basedOn w:val="Standaard"/>
    <w:uiPriority w:val="99"/>
    <w:unhideWhenUsed/>
    <w:rsid w:val="00BF2798"/>
    <w:pPr>
      <w:spacing w:before="100" w:beforeAutospacing="1" w:after="100" w:afterAutospacing="1" w:line="240" w:lineRule="auto"/>
    </w:pPr>
    <w:rPr>
      <w:rFonts w:ascii="Times New Roman" w:hAnsi="Times New Roman"/>
      <w:sz w:val="24"/>
      <w:szCs w:val="24"/>
    </w:rPr>
  </w:style>
  <w:style w:type="character" w:styleId="Zwaar">
    <w:name w:val="Strong"/>
    <w:basedOn w:val="Standaardalinea-lettertype"/>
    <w:uiPriority w:val="22"/>
    <w:qFormat/>
    <w:rsid w:val="00BF2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B7763247.dotm</Template>
  <TotalTime>0</TotalTime>
  <Pages>1</Pages>
  <Words>524</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van der Klein</dc:creator>
  <cp:lastModifiedBy>Joost van der Klein</cp:lastModifiedBy>
  <cp:revision>1</cp:revision>
  <dcterms:created xsi:type="dcterms:W3CDTF">2016-11-16T10:25:00Z</dcterms:created>
  <dcterms:modified xsi:type="dcterms:W3CDTF">2016-11-16T10:25:00Z</dcterms:modified>
</cp:coreProperties>
</file>